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F321E" w:rsidRDefault="00AE2FE4">
      <w:pPr>
        <w:spacing w:after="0" w:line="259" w:lineRule="auto"/>
        <w:ind w:left="-5"/>
        <w:jc w:val="center"/>
      </w:pPr>
      <w:r>
        <w:rPr>
          <w:noProof/>
          <w:sz w:val="48"/>
          <w:szCs w:val="48"/>
        </w:rPr>
        <w:drawing>
          <wp:inline distT="0" distB="0" distL="0" distR="0" wp14:anchorId="1530D9CE" wp14:editId="0E207EFE">
            <wp:extent cx="1048148" cy="641686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8148" cy="641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AF321E" w:rsidRDefault="00AE2FE4">
      <w:pPr>
        <w:spacing w:after="15" w:line="259" w:lineRule="auto"/>
        <w:ind w:left="6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OFFICE OF THE CONTROLLER AND ASSISTANT TREASURER</w:t>
      </w:r>
    </w:p>
    <w:p w14:paraId="00000003" w14:textId="77777777" w:rsidR="00AF321E" w:rsidRDefault="00AF321E">
      <w:pPr>
        <w:spacing w:after="0" w:line="259" w:lineRule="auto"/>
        <w:ind w:left="-5"/>
        <w:jc w:val="center"/>
      </w:pPr>
    </w:p>
    <w:tbl>
      <w:tblPr>
        <w:tblStyle w:val="a5"/>
        <w:tblW w:w="7419" w:type="dxa"/>
        <w:tblLayout w:type="fixed"/>
        <w:tblLook w:val="0400" w:firstRow="0" w:lastRow="0" w:firstColumn="0" w:lastColumn="0" w:noHBand="0" w:noVBand="1"/>
      </w:tblPr>
      <w:tblGrid>
        <w:gridCol w:w="1858"/>
        <w:gridCol w:w="5561"/>
      </w:tblGrid>
      <w:tr w:rsidR="00AF321E" w14:paraId="65CC0C30" w14:textId="77777777">
        <w:trPr>
          <w:trHeight w:val="24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0000004" w14:textId="77777777" w:rsidR="00AF321E" w:rsidRDefault="00AE2FE4">
            <w:pPr>
              <w:tabs>
                <w:tab w:val="center" w:pos="720"/>
              </w:tabs>
              <w:spacing w:after="20" w:line="259" w:lineRule="auto"/>
              <w:ind w:left="0"/>
              <w:jc w:val="left"/>
            </w:pPr>
            <w:r>
              <w:t xml:space="preserve">TO: </w:t>
            </w:r>
            <w:r>
              <w:tab/>
              <w:t xml:space="preserve">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14:paraId="00000005" w14:textId="77777777" w:rsidR="00AF321E" w:rsidRDefault="00AE2FE4">
            <w:pPr>
              <w:spacing w:line="259" w:lineRule="auto"/>
              <w:ind w:left="0"/>
              <w:jc w:val="left"/>
            </w:pPr>
            <w:r>
              <w:t>Members of the University Community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321E" w14:paraId="5FFC8805" w14:textId="77777777">
        <w:trPr>
          <w:trHeight w:val="27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0000006" w14:textId="77777777" w:rsidR="00AF321E" w:rsidRDefault="00AE2FE4">
            <w:pPr>
              <w:spacing w:after="22" w:line="259" w:lineRule="auto"/>
              <w:ind w:left="0"/>
              <w:jc w:val="left"/>
            </w:pPr>
            <w:r>
              <w:t xml:space="preserve">FROM: 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14:paraId="00000007" w14:textId="77777777" w:rsidR="00AF321E" w:rsidRDefault="00AE2FE4">
            <w:pPr>
              <w:spacing w:line="259" w:lineRule="auto"/>
              <w:ind w:left="0"/>
            </w:pPr>
            <w:r>
              <w:t>Rosie Henderson, Controller and Assistant Treasurer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321E" w14:paraId="75FB07F2" w14:textId="77777777">
        <w:trPr>
          <w:trHeight w:val="28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0000008" w14:textId="77777777" w:rsidR="00AF321E" w:rsidRDefault="00AE2FE4">
            <w:pPr>
              <w:spacing w:line="259" w:lineRule="auto"/>
              <w:ind w:left="0"/>
              <w:jc w:val="left"/>
            </w:pPr>
            <w:r>
              <w:t xml:space="preserve">SUBJECT: 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14:paraId="00000009" w14:textId="505D67BE" w:rsidR="00AF321E" w:rsidRDefault="00AE2FE4">
            <w:pPr>
              <w:spacing w:line="259" w:lineRule="auto"/>
              <w:ind w:left="0"/>
              <w:jc w:val="left"/>
            </w:pPr>
            <w:r>
              <w:t xml:space="preserve">Fiscal Year </w:t>
            </w:r>
            <w:r w:rsidR="00DD3636">
              <w:t xml:space="preserve">2024 </w:t>
            </w:r>
            <w:r>
              <w:t>(“FY202</w:t>
            </w:r>
            <w:r w:rsidR="001E3510">
              <w:t>4</w:t>
            </w:r>
            <w:r>
              <w:t>”) Key Dates for Year-End Close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F321E" w14:paraId="3A6CD0D7" w14:textId="77777777">
        <w:trPr>
          <w:trHeight w:val="27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14:paraId="0000000A" w14:textId="77777777" w:rsidR="00AF321E" w:rsidRDefault="00AE2FE4">
            <w:pPr>
              <w:spacing w:line="259" w:lineRule="auto"/>
              <w:ind w:left="0"/>
              <w:jc w:val="left"/>
            </w:pPr>
            <w:r>
              <w:t>DATE:</w:t>
            </w: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14:paraId="0000000B" w14:textId="7364A8FC" w:rsidR="00AF321E" w:rsidRDefault="00AE2FE4">
            <w:pPr>
              <w:spacing w:line="259" w:lineRule="auto"/>
              <w:ind w:left="0"/>
              <w:jc w:val="left"/>
            </w:pPr>
            <w:bookmarkStart w:id="0" w:name="_heading=h.gjdgxs" w:colFirst="0" w:colLast="0"/>
            <w:bookmarkEnd w:id="0"/>
            <w:r>
              <w:t xml:space="preserve">March </w:t>
            </w:r>
            <w:r w:rsidR="00172A88">
              <w:t>19</w:t>
            </w:r>
            <w:bookmarkStart w:id="1" w:name="_GoBack"/>
            <w:bookmarkEnd w:id="1"/>
            <w:r>
              <w:t>, 202</w:t>
            </w:r>
            <w:r w:rsidR="00662251">
              <w:t>4</w:t>
            </w:r>
          </w:p>
          <w:p w14:paraId="0000000C" w14:textId="77777777" w:rsidR="00AF321E" w:rsidRDefault="00AF321E">
            <w:pPr>
              <w:spacing w:line="259" w:lineRule="auto"/>
              <w:ind w:left="0"/>
              <w:jc w:val="left"/>
            </w:pPr>
          </w:p>
        </w:tc>
      </w:tr>
    </w:tbl>
    <w:p w14:paraId="49B1A25F" w14:textId="0677EE06" w:rsidR="00DD3636" w:rsidRDefault="00AE2FE4">
      <w:pPr>
        <w:ind w:left="-5" w:right="-13"/>
      </w:pPr>
      <w:r>
        <w:t>The University’s current fiscal year will conclude on April 30, 202</w:t>
      </w:r>
      <w:r w:rsidR="00761C35">
        <w:t>4</w:t>
      </w:r>
      <w:r w:rsidR="00DD3636">
        <w:t xml:space="preserve">.  The year-end financial close process is coordinated effort involving every member of the University community.  We appreciate your time and attention to ensuring another successful year.  </w:t>
      </w:r>
      <w:r w:rsidR="00DD3636" w:rsidRPr="00421DE4">
        <w:t xml:space="preserve">The following table </w:t>
      </w:r>
      <w:r w:rsidR="00DD3636">
        <w:t>summarizes</w:t>
      </w:r>
      <w:r w:rsidR="00DD3636" w:rsidRPr="00421DE4">
        <w:t xml:space="preserve"> key dates that require your attention</w:t>
      </w:r>
      <w:r w:rsidR="00DD3636">
        <w:t xml:space="preserve"> to support the </w:t>
      </w:r>
      <w:r w:rsidR="00DD3636" w:rsidRPr="00421DE4">
        <w:t>closeout</w:t>
      </w:r>
      <w:r w:rsidR="00DD3636">
        <w:t xml:space="preserve"> process</w:t>
      </w:r>
      <w:r w:rsidR="00DD3636" w:rsidRPr="00421DE4">
        <w:t xml:space="preserve">. Detailed guidance on these critical actions </w:t>
      </w:r>
      <w:r w:rsidR="00DD3636">
        <w:t xml:space="preserve">can be found at </w:t>
      </w:r>
      <w:r w:rsidR="00DD3636" w:rsidRPr="00D242E5">
        <w:rPr>
          <w:color w:val="0000FF"/>
          <w:u w:val="single" w:color="0000FF"/>
        </w:rPr>
        <w:t>https://controller.catholic.edu/index.html</w:t>
      </w:r>
      <w:r w:rsidR="00DD3636">
        <w:t>.</w:t>
      </w:r>
      <w:r w:rsidR="00DD3636" w:rsidRPr="00421DE4">
        <w:t xml:space="preserve"> Thank you for your observance and attention to the key dates.</w:t>
      </w:r>
    </w:p>
    <w:p w14:paraId="420495F1" w14:textId="77777777" w:rsidR="00DD3636" w:rsidRDefault="00DD3636">
      <w:pPr>
        <w:ind w:left="-5" w:right="-13"/>
      </w:pPr>
    </w:p>
    <w:p w14:paraId="0000000F" w14:textId="77777777" w:rsidR="00AF321E" w:rsidRDefault="00AF321E">
      <w:pPr>
        <w:spacing w:after="0" w:line="259" w:lineRule="auto"/>
        <w:ind w:left="-5"/>
        <w:jc w:val="left"/>
        <w:rPr>
          <w:b/>
          <w:sz w:val="6"/>
          <w:szCs w:val="6"/>
        </w:rPr>
      </w:pPr>
    </w:p>
    <w:tbl>
      <w:tblPr>
        <w:tblStyle w:val="a6"/>
        <w:tblW w:w="9090" w:type="dxa"/>
        <w:tblInd w:w="265" w:type="dxa"/>
        <w:tblLayout w:type="fixed"/>
        <w:tblLook w:val="0400" w:firstRow="0" w:lastRow="0" w:firstColumn="0" w:lastColumn="0" w:noHBand="0" w:noVBand="1"/>
      </w:tblPr>
      <w:tblGrid>
        <w:gridCol w:w="990"/>
        <w:gridCol w:w="8100"/>
      </w:tblGrid>
      <w:tr w:rsidR="00AF321E" w14:paraId="7B94A0BE" w14:textId="77777777">
        <w:trPr>
          <w:trHeight w:val="250"/>
        </w:trPr>
        <w:tc>
          <w:tcPr>
            <w:tcW w:w="9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F8E"/>
          </w:tcPr>
          <w:p w14:paraId="00000010" w14:textId="77777777" w:rsidR="00AF321E" w:rsidRDefault="00AE2FE4">
            <w:pPr>
              <w:spacing w:line="259" w:lineRule="auto"/>
              <w:ind w:left="0"/>
              <w:jc w:val="left"/>
            </w:pPr>
            <w:r>
              <w:rPr>
                <w:color w:val="FFFFFF"/>
              </w:rPr>
              <w:t xml:space="preserve">DATE </w:t>
            </w:r>
          </w:p>
        </w:tc>
        <w:tc>
          <w:tcPr>
            <w:tcW w:w="81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F8E"/>
          </w:tcPr>
          <w:p w14:paraId="00000011" w14:textId="77777777" w:rsidR="00AF321E" w:rsidRDefault="00AE2FE4">
            <w:pPr>
              <w:spacing w:line="259" w:lineRule="auto"/>
              <w:ind w:left="1"/>
              <w:jc w:val="left"/>
            </w:pPr>
            <w:r>
              <w:rPr>
                <w:color w:val="FFFFFF"/>
              </w:rPr>
              <w:t xml:space="preserve">CRITICAL ACTION </w:t>
            </w:r>
          </w:p>
        </w:tc>
      </w:tr>
      <w:tr w:rsidR="00AF321E" w14:paraId="423EBFC8" w14:textId="77777777">
        <w:trPr>
          <w:trHeight w:val="2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4" w14:textId="77777777" w:rsidR="00AF321E" w:rsidRDefault="00AE2FE4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5" w14:textId="61E57019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day FY202</w:t>
            </w:r>
            <w:r w:rsidR="00FB112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 xml:space="preserve"> requisitions may be submitted </w:t>
            </w:r>
          </w:p>
        </w:tc>
      </w:tr>
      <w:tr w:rsidR="00081571" w14:paraId="605D48AD" w14:textId="77777777">
        <w:trPr>
          <w:trHeight w:val="2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F059" w14:textId="2672FAEA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 w:rsidRPr="00113E5C">
              <w:rPr>
                <w:sz w:val="19"/>
                <w:szCs w:val="19"/>
              </w:rPr>
              <w:t xml:space="preserve">April 3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27346" w14:textId="2410A3AC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 w:rsidRPr="00113E5C">
              <w:rPr>
                <w:sz w:val="19"/>
                <w:szCs w:val="19"/>
              </w:rPr>
              <w:t xml:space="preserve">General (fund 11, 12), auxiliary (fund 15), </w:t>
            </w:r>
            <w:sdt>
              <w:sdtPr>
                <w:tag w:val="goog_rdk_3"/>
                <w:id w:val="-1498797011"/>
              </w:sdtPr>
              <w:sdtEndPr/>
              <w:sdtContent>
                <w:r w:rsidRPr="00113E5C">
                  <w:rPr>
                    <w:sz w:val="19"/>
                    <w:szCs w:val="19"/>
                  </w:rPr>
                  <w:t xml:space="preserve">Capital Campaign (fund 16), </w:t>
                </w:r>
              </w:sdtContent>
            </w:sdt>
            <w:r w:rsidRPr="00113E5C">
              <w:rPr>
                <w:sz w:val="19"/>
                <w:szCs w:val="19"/>
              </w:rPr>
              <w:t xml:space="preserve"> Annual Fund (20,) </w:t>
            </w:r>
            <w:sdt>
              <w:sdtPr>
                <w:tag w:val="goog_rdk_4"/>
                <w:id w:val="29772620"/>
              </w:sdtPr>
              <w:sdtEndPr/>
              <w:sdtContent>
                <w:r w:rsidRPr="00113E5C">
                  <w:rPr>
                    <w:sz w:val="19"/>
                    <w:szCs w:val="19"/>
                  </w:rPr>
                  <w:t xml:space="preserve">Fellowships (fund 29), term endowments (fund 55) </w:t>
                </w:r>
              </w:sdtContent>
            </w:sdt>
            <w:r w:rsidRPr="00113E5C">
              <w:rPr>
                <w:sz w:val="19"/>
                <w:szCs w:val="19"/>
              </w:rPr>
              <w:t>and designated funds (funds 18/19/59) operating budgets due to Budget Office</w:t>
            </w:r>
          </w:p>
        </w:tc>
      </w:tr>
      <w:tr w:rsidR="00081571" w14:paraId="7C5031D2" w14:textId="77777777">
        <w:trPr>
          <w:trHeight w:val="2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6" w14:textId="191900AE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8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7" w14:textId="2A28CDF6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Last day to submit an approved and valid Purchase Requisition for guaranteed processing in FY2024</w:t>
            </w:r>
          </w:p>
        </w:tc>
      </w:tr>
      <w:tr w:rsidR="00081571" w14:paraId="2B944126" w14:textId="77777777">
        <w:trPr>
          <w:trHeight w:val="25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D10A7F1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15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9" w14:textId="78E31F18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Processing of scholarships for 2023-2024 academic ends by the Office of Student Financial Assistance</w:t>
            </w:r>
          </w:p>
        </w:tc>
      </w:tr>
      <w:tr w:rsidR="00081571" w14:paraId="3B8431E2" w14:textId="77777777">
        <w:trPr>
          <w:trHeight w:val="49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1F" w14:textId="590AE0BA" w:rsidR="00081571" w:rsidRDefault="002A0EE4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22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0" w14:textId="04972DA5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Notice of pre-payments for goods and services greater than $10,000 (i.e. funds paid in FY2024 for services or goods to be received in FY2025) should be forwarded to General Accounting. </w:t>
            </w:r>
          </w:p>
        </w:tc>
      </w:tr>
      <w:tr w:rsidR="00081571" w14:paraId="62C19F06" w14:textId="77777777" w:rsidTr="00081571">
        <w:trPr>
          <w:trHeight w:val="245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949B9E" w14:textId="41A35317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26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D36" w14:textId="183EC442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Bi-Weekly Timesheets through pay period ending April 27, 2024 due to Payroll</w:t>
            </w:r>
          </w:p>
        </w:tc>
      </w:tr>
      <w:tr w:rsidR="00081571" w14:paraId="597A871D" w14:textId="77777777" w:rsidTr="00081571">
        <w:trPr>
          <w:trHeight w:val="218"/>
        </w:trPr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021" w14:textId="6D85D0AC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2" w14:textId="36BEBD20" w:rsidR="00081571" w:rsidRDefault="00081571" w:rsidP="00081571">
            <w:pPr>
              <w:spacing w:line="259" w:lineRule="auto"/>
              <w:ind w:left="1"/>
              <w:jc w:val="left"/>
              <w:rPr>
                <w:color w:val="1A73E8"/>
                <w:highlight w:val="white"/>
              </w:rPr>
            </w:pPr>
            <w:r>
              <w:rPr>
                <w:sz w:val="19"/>
                <w:szCs w:val="19"/>
              </w:rPr>
              <w:t>Last day to submit FY2024 wire requests for approved vendors to Treasury and Accounts Payable</w:t>
            </w:r>
          </w:p>
        </w:tc>
      </w:tr>
      <w:tr w:rsidR="00081571" w14:paraId="4C9E4AF0" w14:textId="77777777">
        <w:trPr>
          <w:trHeight w:val="25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3" w14:textId="47CD173E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April 30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4" w14:textId="4C04BB28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Last business day of the Fiscal Year 2024 (“FY2024”) </w:t>
            </w:r>
          </w:p>
        </w:tc>
      </w:tr>
      <w:tr w:rsidR="00081571" w14:paraId="6FADA623" w14:textId="77777777">
        <w:trPr>
          <w:trHeight w:val="25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5" w14:textId="77777777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6" w14:textId="77777777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Cash receipts must be deposited to the Deposit Dropbox by 12:00pm </w:t>
            </w:r>
          </w:p>
        </w:tc>
      </w:tr>
      <w:tr w:rsidR="00081571" w14:paraId="499D98E2" w14:textId="77777777" w:rsidTr="00C760D5">
        <w:trPr>
          <w:trHeight w:val="25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C4CE1" w14:textId="6F179FF4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May 1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E5271" w14:textId="6A086D72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First business day of Fiscal Year 2025</w:t>
            </w:r>
          </w:p>
        </w:tc>
      </w:tr>
      <w:tr w:rsidR="00081571" w14:paraId="73CB7B75" w14:textId="77777777" w:rsidTr="00C760D5">
        <w:trPr>
          <w:trHeight w:val="254"/>
        </w:trPr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027" w14:textId="5A7FACDE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8" w14:textId="346FA14D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All general, auxiliary, designated, and endowment payout budgets that were submitted to the Budget Office by the deadline and reconciled to targets will be available for use</w:t>
            </w:r>
          </w:p>
        </w:tc>
      </w:tr>
      <w:tr w:rsidR="00081571" w14:paraId="604C2353" w14:textId="77777777" w:rsidTr="00C760D5">
        <w:trPr>
          <w:trHeight w:val="252"/>
        </w:trPr>
        <w:tc>
          <w:tcPr>
            <w:tcW w:w="9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00029" w14:textId="77777777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A" w14:textId="4E6A5894" w:rsidR="00081571" w:rsidRDefault="00081571" w:rsidP="00081571">
            <w:pPr>
              <w:spacing w:after="10"/>
              <w:ind w:firstLine="10"/>
              <w:jc w:val="left"/>
              <w:rPr>
                <w:sz w:val="19"/>
                <w:szCs w:val="19"/>
              </w:rPr>
            </w:pPr>
            <w:bookmarkStart w:id="2" w:name="_heading=h.1fob9te" w:colFirst="0" w:colLast="0"/>
            <w:bookmarkEnd w:id="2"/>
            <w:r>
              <w:t>Unspent annual fund (fund 20) revenue from April 2024 will be available for spend in FY2025</w:t>
            </w:r>
          </w:p>
        </w:tc>
      </w:tr>
      <w:tr w:rsidR="00081571" w14:paraId="63F40FAD" w14:textId="77777777" w:rsidTr="00C760D5">
        <w:trPr>
          <w:trHeight w:val="254"/>
        </w:trPr>
        <w:tc>
          <w:tcPr>
            <w:tcW w:w="9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B" w14:textId="77777777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C" w14:textId="60D50B71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Goods and services requisitioned using FY2025 funds may be received </w:t>
            </w:r>
          </w:p>
        </w:tc>
      </w:tr>
      <w:tr w:rsidR="00081571" w14:paraId="168FECE0" w14:textId="77777777">
        <w:trPr>
          <w:trHeight w:val="25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2F" w14:textId="09288D73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0" w14:textId="1BE1D1AB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Goods and services received or completed in FY</w:t>
            </w:r>
            <w:r w:rsidR="0002467D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024 must be received in Cardinal Financials</w:t>
            </w:r>
          </w:p>
        </w:tc>
      </w:tr>
      <w:tr w:rsidR="00081571" w14:paraId="2A7F184E" w14:textId="77777777">
        <w:trPr>
          <w:trHeight w:val="25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1" w14:textId="77777777" w:rsidR="00081571" w:rsidRDefault="00081571" w:rsidP="00081571">
            <w:pPr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2" w14:textId="4135458B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Invoices for FY2024 goods and services due to Accounts Payable </w:t>
            </w:r>
          </w:p>
        </w:tc>
      </w:tr>
      <w:tr w:rsidR="00081571" w14:paraId="68D43463" w14:textId="77777777">
        <w:trPr>
          <w:trHeight w:val="27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3" w14:textId="77777777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4" w14:textId="77777777" w:rsidR="00081571" w:rsidRDefault="00081571" w:rsidP="00081571">
            <w:pPr>
              <w:spacing w:line="259" w:lineRule="auto"/>
              <w:ind w:left="1" w:right="37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Request for reimbursement for expenses incurred before April 30 due to Accounts Payable </w:t>
            </w:r>
          </w:p>
        </w:tc>
      </w:tr>
      <w:tr w:rsidR="00081571" w14:paraId="288C2DF5" w14:textId="77777777">
        <w:trPr>
          <w:trHeight w:val="254"/>
        </w:trPr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7" w14:textId="4FE968A0" w:rsidR="00081571" w:rsidRDefault="00081571" w:rsidP="00081571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6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8" w14:textId="7A76B3F8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Eligible FY2024 purchase orders rolled over to FY2025; ineligible FY2024 purchase orders closed</w:t>
            </w:r>
          </w:p>
        </w:tc>
      </w:tr>
      <w:tr w:rsidR="00081571" w14:paraId="24CBD22B" w14:textId="77777777">
        <w:trPr>
          <w:trHeight w:val="25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9" w14:textId="77777777" w:rsidR="00081571" w:rsidRDefault="00081571" w:rsidP="00081571">
            <w:pPr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A" w14:textId="77777777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Information on unpaid expenses without invoices due to General Accounting </w:t>
            </w:r>
          </w:p>
        </w:tc>
      </w:tr>
      <w:tr w:rsidR="00081571" w14:paraId="3A4A7E02" w14:textId="77777777">
        <w:trPr>
          <w:trHeight w:val="254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3B" w14:textId="77777777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C" w14:textId="77777777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Procurement Card &amp; Corporate Card reclassifications and approvals must be complete</w:t>
            </w:r>
          </w:p>
        </w:tc>
      </w:tr>
      <w:tr w:rsidR="00081571" w14:paraId="56D0EA04" w14:textId="77777777" w:rsidTr="000308F0">
        <w:trPr>
          <w:trHeight w:val="252"/>
        </w:trPr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0000003D" w14:textId="77777777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sz w:val="19"/>
                <w:szCs w:val="19"/>
              </w:rPr>
            </w:pP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E" w14:textId="36E3211D" w:rsidR="00081571" w:rsidRDefault="00081571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Last day to submit FY2024 cost transfer requests to General Accounting and Sponsored Accounting</w:t>
            </w:r>
          </w:p>
        </w:tc>
      </w:tr>
      <w:tr w:rsidR="00081571" w14:paraId="25E56757" w14:textId="77777777" w:rsidTr="00CD1B72">
        <w:trPr>
          <w:trHeight w:val="25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7D909A18" w14:textId="30AF899B" w:rsidR="00081571" w:rsidRDefault="00081571" w:rsidP="00081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May 24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2F7490D7" w14:textId="13CBDC8B" w:rsidR="00081571" w:rsidRDefault="00A33BAB" w:rsidP="00081571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sdt>
              <w:sdtPr>
                <w:tag w:val="goog_rdk_1"/>
                <w:id w:val="1607773852"/>
              </w:sdtPr>
              <w:sdtEndPr/>
              <w:sdtContent/>
            </w:sdt>
            <w:r w:rsidR="00081571">
              <w:rPr>
                <w:sz w:val="19"/>
                <w:szCs w:val="19"/>
              </w:rPr>
              <w:t xml:space="preserve">Corrections to April 2024 leave reports due to Payroll </w:t>
            </w:r>
          </w:p>
        </w:tc>
      </w:tr>
    </w:tbl>
    <w:p w14:paraId="37C49599" w14:textId="77777777" w:rsidR="00F52227" w:rsidRDefault="00F52227" w:rsidP="00297950">
      <w:pPr>
        <w:spacing w:after="0" w:line="259" w:lineRule="auto"/>
        <w:ind w:left="0"/>
        <w:jc w:val="left"/>
        <w:rPr>
          <w:b/>
          <w:u w:val="single"/>
        </w:rPr>
      </w:pPr>
    </w:p>
    <w:p w14:paraId="5A096B0C" w14:textId="77777777" w:rsidR="00F52227" w:rsidRDefault="00F5222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000041" w14:textId="0BABD4A5" w:rsidR="00AF321E" w:rsidRDefault="00AE2FE4" w:rsidP="00297950">
      <w:pPr>
        <w:spacing w:after="0" w:line="259" w:lineRule="auto"/>
        <w:ind w:left="0"/>
        <w:jc w:val="left"/>
        <w:rPr>
          <w:b/>
        </w:rPr>
      </w:pPr>
      <w:r>
        <w:rPr>
          <w:b/>
          <w:u w:val="single"/>
        </w:rPr>
        <w:lastRenderedPageBreak/>
        <w:t>Key Contacts by Area</w:t>
      </w:r>
      <w:r>
        <w:rPr>
          <w:b/>
        </w:rPr>
        <w:t xml:space="preserve"> </w:t>
      </w:r>
    </w:p>
    <w:p w14:paraId="00000042" w14:textId="77777777" w:rsidR="00AF321E" w:rsidRDefault="00AE2FE4">
      <w:pPr>
        <w:spacing w:after="0" w:line="259" w:lineRule="auto"/>
        <w:ind w:left="0"/>
        <w:jc w:val="left"/>
        <w:rPr>
          <w:sz w:val="6"/>
          <w:szCs w:val="6"/>
        </w:rPr>
      </w:pPr>
      <w:r>
        <w:t xml:space="preserve"> </w:t>
      </w:r>
    </w:p>
    <w:tbl>
      <w:tblPr>
        <w:tblStyle w:val="a7"/>
        <w:tblW w:w="9211" w:type="dxa"/>
        <w:tblInd w:w="251" w:type="dxa"/>
        <w:tblLayout w:type="fixed"/>
        <w:tblLook w:val="0400" w:firstRow="0" w:lastRow="0" w:firstColumn="0" w:lastColumn="0" w:noHBand="0" w:noVBand="1"/>
      </w:tblPr>
      <w:tblGrid>
        <w:gridCol w:w="3309"/>
        <w:gridCol w:w="1777"/>
        <w:gridCol w:w="1461"/>
        <w:gridCol w:w="2664"/>
      </w:tblGrid>
      <w:tr w:rsidR="00AF321E" w14:paraId="27AE8CBF" w14:textId="77777777">
        <w:trPr>
          <w:trHeight w:val="252"/>
        </w:trPr>
        <w:tc>
          <w:tcPr>
            <w:tcW w:w="33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F8E"/>
          </w:tcPr>
          <w:p w14:paraId="00000043" w14:textId="77777777" w:rsidR="00AF321E" w:rsidRDefault="00AE2FE4">
            <w:pPr>
              <w:spacing w:line="259" w:lineRule="auto"/>
              <w:ind w:left="1"/>
              <w:jc w:val="left"/>
            </w:pPr>
            <w:r>
              <w:rPr>
                <w:color w:val="FFFFFF"/>
              </w:rPr>
              <w:t xml:space="preserve">Area </w:t>
            </w:r>
          </w:p>
        </w:tc>
        <w:tc>
          <w:tcPr>
            <w:tcW w:w="17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F8E"/>
          </w:tcPr>
          <w:p w14:paraId="00000044" w14:textId="77777777" w:rsidR="00AF321E" w:rsidRDefault="00AE2FE4">
            <w:pPr>
              <w:spacing w:line="259" w:lineRule="auto"/>
              <w:ind w:left="2"/>
              <w:jc w:val="left"/>
            </w:pPr>
            <w:r>
              <w:rPr>
                <w:color w:val="FFFFFF"/>
              </w:rPr>
              <w:t xml:space="preserve">Name of Contact </w:t>
            </w:r>
          </w:p>
        </w:tc>
        <w:tc>
          <w:tcPr>
            <w:tcW w:w="1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F8E"/>
          </w:tcPr>
          <w:p w14:paraId="00000045" w14:textId="77777777" w:rsidR="00AF321E" w:rsidRDefault="00AE2FE4">
            <w:pPr>
              <w:spacing w:line="259" w:lineRule="auto"/>
              <w:ind w:left="1"/>
              <w:jc w:val="left"/>
            </w:pPr>
            <w:r>
              <w:rPr>
                <w:color w:val="FFFFFF"/>
              </w:rPr>
              <w:t xml:space="preserve">Phone </w:t>
            </w:r>
          </w:p>
        </w:tc>
        <w:tc>
          <w:tcPr>
            <w:tcW w:w="26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002F8E"/>
          </w:tcPr>
          <w:p w14:paraId="00000046" w14:textId="77777777" w:rsidR="00AF321E" w:rsidRDefault="00AE2FE4">
            <w:pPr>
              <w:spacing w:line="259" w:lineRule="auto"/>
              <w:ind w:left="2"/>
              <w:jc w:val="left"/>
            </w:pPr>
            <w:r>
              <w:rPr>
                <w:color w:val="FFFFFF"/>
              </w:rPr>
              <w:t xml:space="preserve">Email </w:t>
            </w:r>
          </w:p>
        </w:tc>
      </w:tr>
      <w:tr w:rsidR="00AF321E" w14:paraId="6E5A4770" w14:textId="77777777">
        <w:trPr>
          <w:trHeight w:val="109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7" w14:textId="77777777" w:rsidR="00AF321E" w:rsidRDefault="00AE2FE4">
            <w:pPr>
              <w:spacing w:line="259" w:lineRule="auto"/>
              <w:ind w:firstLin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Budget: </w:t>
            </w:r>
          </w:p>
          <w:p w14:paraId="00000048" w14:textId="77777777" w:rsidR="00AF321E" w:rsidRDefault="00AE2FE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06"/>
                <w:tab w:val="center" w:pos="1758"/>
              </w:tabs>
              <w:spacing w:line="259" w:lineRule="auto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General University Policy, Instructions, and Guidelines </w:t>
            </w:r>
          </w:p>
          <w:p w14:paraId="00000049" w14:textId="77777777" w:rsidR="00AF321E" w:rsidRDefault="00AF321E">
            <w:pPr>
              <w:spacing w:after="3" w:line="253" w:lineRule="auto"/>
              <w:ind w:left="720"/>
              <w:rPr>
                <w:sz w:val="19"/>
                <w:szCs w:val="19"/>
              </w:rPr>
            </w:pPr>
          </w:p>
          <w:p w14:paraId="0000004A" w14:textId="77777777" w:rsidR="00AF321E" w:rsidRDefault="00AE2FE4">
            <w:pPr>
              <w:numPr>
                <w:ilvl w:val="0"/>
                <w:numId w:val="2"/>
              </w:numPr>
              <w:spacing w:after="3" w:line="253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Provost and Academic Departments (excluding Student Life) and Law School </w:t>
            </w:r>
          </w:p>
          <w:p w14:paraId="0000004B" w14:textId="77777777" w:rsidR="00AF321E" w:rsidRDefault="00AF321E">
            <w:pPr>
              <w:spacing w:after="15" w:line="259" w:lineRule="auto"/>
              <w:ind w:left="720" w:firstLine="45"/>
              <w:rPr>
                <w:sz w:val="19"/>
                <w:szCs w:val="19"/>
              </w:rPr>
            </w:pPr>
          </w:p>
          <w:p w14:paraId="0000004C" w14:textId="77777777" w:rsidR="00AF321E" w:rsidRDefault="00AE2FE4">
            <w:pPr>
              <w:numPr>
                <w:ilvl w:val="0"/>
                <w:numId w:val="2"/>
              </w:numPr>
              <w:spacing w:line="253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Student Life (including Athletics), Enrollment Management, University Advancement, and President’s Office (includes General Counsel and Office of Compliance, University Relations and Public Affairs) </w:t>
            </w:r>
          </w:p>
          <w:p w14:paraId="0000004D" w14:textId="77777777" w:rsidR="00AF321E" w:rsidRDefault="00AF321E">
            <w:pPr>
              <w:spacing w:after="17" w:line="259" w:lineRule="auto"/>
              <w:ind w:left="0" w:firstLine="45"/>
              <w:rPr>
                <w:sz w:val="19"/>
                <w:szCs w:val="19"/>
              </w:rPr>
            </w:pPr>
          </w:p>
          <w:p w14:paraId="0000004E" w14:textId="0206CCE6" w:rsidR="00AF321E" w:rsidRDefault="00AE2FE4">
            <w:pPr>
              <w:numPr>
                <w:ilvl w:val="0"/>
                <w:numId w:val="2"/>
              </w:numPr>
              <w:spacing w:line="259" w:lineRule="auto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Finance, Facilities, Human Resources, Technology Services, and Campus Services/Auxiliaries and Capital Projects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4F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  <w:p w14:paraId="00000050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1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Rita Kovach </w:t>
            </w:r>
          </w:p>
          <w:p w14:paraId="00000052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53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54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Joseph Miranda</w:t>
            </w:r>
          </w:p>
          <w:p w14:paraId="00000055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56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57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58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Paula Blackwell</w:t>
            </w:r>
          </w:p>
          <w:p w14:paraId="00000059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A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B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C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D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E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5F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60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61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Allyson Handley</w:t>
            </w:r>
          </w:p>
          <w:p w14:paraId="00000062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63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64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65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66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x6300 </w:t>
            </w:r>
          </w:p>
          <w:p w14:paraId="00000067" w14:textId="77777777" w:rsidR="00AF321E" w:rsidRDefault="00AE2FE4">
            <w:pPr>
              <w:ind w:left="0" w:right="7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  <w:p w14:paraId="00000068" w14:textId="77777777" w:rsidR="00AF321E" w:rsidRDefault="00AF321E">
            <w:pPr>
              <w:ind w:left="0" w:right="738"/>
              <w:rPr>
                <w:sz w:val="19"/>
                <w:szCs w:val="19"/>
              </w:rPr>
            </w:pPr>
          </w:p>
          <w:p w14:paraId="00000069" w14:textId="77777777" w:rsidR="00AF321E" w:rsidRDefault="00AE2FE4">
            <w:pPr>
              <w:ind w:left="0" w:right="73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x5187</w:t>
            </w:r>
          </w:p>
          <w:p w14:paraId="0000006A" w14:textId="77777777" w:rsidR="00AF321E" w:rsidRDefault="00AF321E">
            <w:pPr>
              <w:ind w:left="0" w:right="738"/>
              <w:rPr>
                <w:sz w:val="19"/>
                <w:szCs w:val="19"/>
              </w:rPr>
            </w:pPr>
          </w:p>
          <w:p w14:paraId="0000006B" w14:textId="77777777" w:rsidR="00AF321E" w:rsidRDefault="00AF321E">
            <w:pPr>
              <w:ind w:left="0" w:right="738"/>
              <w:rPr>
                <w:sz w:val="19"/>
                <w:szCs w:val="19"/>
              </w:rPr>
            </w:pPr>
          </w:p>
          <w:p w14:paraId="0000006C" w14:textId="77777777" w:rsidR="00AF321E" w:rsidRDefault="00AF321E">
            <w:pPr>
              <w:ind w:left="0" w:right="738"/>
              <w:rPr>
                <w:sz w:val="28"/>
                <w:szCs w:val="28"/>
              </w:rPr>
            </w:pPr>
          </w:p>
          <w:p w14:paraId="0000006D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x6283 </w:t>
            </w:r>
          </w:p>
          <w:p w14:paraId="0000006E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6F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70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1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2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3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4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75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76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x6108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00077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8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9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kovachr@cua.edu</w:t>
            </w:r>
            <w:r>
              <w:rPr>
                <w:sz w:val="19"/>
                <w:szCs w:val="19"/>
              </w:rPr>
              <w:t xml:space="preserve"> </w:t>
            </w:r>
          </w:p>
          <w:p w14:paraId="0000007A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7B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7C" w14:textId="77777777" w:rsidR="00AF321E" w:rsidRDefault="00A33BAB">
            <w:pPr>
              <w:spacing w:line="259" w:lineRule="auto"/>
              <w:ind w:left="0"/>
              <w:rPr>
                <w:sz w:val="19"/>
                <w:szCs w:val="19"/>
              </w:rPr>
            </w:pPr>
            <w:hyperlink r:id="rId9">
              <w:r w:rsidR="00AE2FE4">
                <w:rPr>
                  <w:color w:val="1155CC"/>
                  <w:sz w:val="19"/>
                  <w:szCs w:val="19"/>
                  <w:u w:val="single"/>
                </w:rPr>
                <w:t>miranda@cua.edu</w:t>
              </w:r>
            </w:hyperlink>
          </w:p>
          <w:p w14:paraId="0000007D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7E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7F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80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color w:val="1155CC"/>
                <w:sz w:val="19"/>
                <w:szCs w:val="19"/>
                <w:u w:val="single"/>
              </w:rPr>
              <w:t>blackwell@cua.edu</w:t>
            </w:r>
            <w:r>
              <w:rPr>
                <w:sz w:val="19"/>
                <w:szCs w:val="19"/>
              </w:rPr>
              <w:t xml:space="preserve"> </w:t>
            </w:r>
          </w:p>
          <w:p w14:paraId="00000081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2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3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4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5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6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7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8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  <w:p w14:paraId="00000089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handley@cua.edu</w:t>
            </w:r>
            <w:r>
              <w:rPr>
                <w:sz w:val="19"/>
                <w:szCs w:val="19"/>
              </w:rPr>
              <w:t xml:space="preserve"> </w:t>
            </w:r>
          </w:p>
          <w:p w14:paraId="0000008A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AF321E" w14:paraId="18737B8A" w14:textId="77777777">
        <w:trPr>
          <w:trHeight w:val="386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B" w14:textId="115C1298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Deposits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C" w14:textId="77777777" w:rsidR="00AF321E" w:rsidRDefault="00AE2FE4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Renell</w:t>
            </w:r>
            <w:proofErr w:type="spellEnd"/>
            <w:r>
              <w:rPr>
                <w:sz w:val="19"/>
                <w:szCs w:val="19"/>
              </w:rPr>
              <w:t xml:space="preserve"> Lewis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D" w14:textId="77777777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x6445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E" w14:textId="77777777" w:rsidR="00AF321E" w:rsidRDefault="00AE2FE4">
            <w:pPr>
              <w:spacing w:line="259" w:lineRule="auto"/>
              <w:ind w:left="0"/>
              <w:jc w:val="left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cua-treasury@cua.edu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F321E" w14:paraId="21572DAF" w14:textId="77777777">
        <w:trPr>
          <w:trHeight w:val="341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F" w14:textId="77777777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Enrollment Services 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0" w14:textId="77777777" w:rsidR="00AF321E" w:rsidRDefault="00AE2FE4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Kevin Woods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1" w14:textId="77777777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x5300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2" w14:textId="77777777" w:rsidR="00AF321E" w:rsidRDefault="00AE2FE4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woods@cua.edu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F321E" w14:paraId="2880502B" w14:textId="77777777">
        <w:trPr>
          <w:trHeight w:val="77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3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General Accounting</w:t>
            </w:r>
          </w:p>
          <w:p w14:paraId="00000094" w14:textId="77777777" w:rsidR="00AF321E" w:rsidRDefault="00AE2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Prepayments, Non-Grant Transfers, Card Reclassifications, and Unpaid Items</w:t>
            </w:r>
          </w:p>
          <w:p w14:paraId="00000095" w14:textId="77777777" w:rsidR="00AF321E" w:rsidRDefault="00AF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left"/>
              <w:rPr>
                <w:color w:val="000000"/>
                <w:sz w:val="19"/>
                <w:szCs w:val="19"/>
              </w:rPr>
            </w:pPr>
          </w:p>
          <w:p w14:paraId="00000096" w14:textId="59EF3AF7" w:rsidR="00AF321E" w:rsidRDefault="00AE2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Revenue and Deposits</w:t>
            </w:r>
            <w:r>
              <w:rPr>
                <w:sz w:val="19"/>
                <w:szCs w:val="19"/>
              </w:rPr>
              <w:t xml:space="preserve"> Received,</w:t>
            </w:r>
            <w:r>
              <w:rPr>
                <w:color w:val="000000"/>
                <w:sz w:val="19"/>
                <w:szCs w:val="19"/>
              </w:rPr>
              <w:t xml:space="preserve"> an</w:t>
            </w:r>
            <w:r>
              <w:rPr>
                <w:sz w:val="19"/>
                <w:szCs w:val="19"/>
              </w:rPr>
              <w:t>d Other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7" w14:textId="77777777" w:rsidR="00AF321E" w:rsidRDefault="00AF321E">
            <w:pPr>
              <w:spacing w:line="259" w:lineRule="auto"/>
              <w:ind w:left="2" w:right="234"/>
              <w:rPr>
                <w:sz w:val="19"/>
                <w:szCs w:val="19"/>
              </w:rPr>
            </w:pPr>
          </w:p>
          <w:p w14:paraId="00000098" w14:textId="77777777" w:rsidR="00AF321E" w:rsidRDefault="00AF321E">
            <w:pPr>
              <w:spacing w:line="259" w:lineRule="auto"/>
              <w:ind w:left="2" w:right="234"/>
              <w:rPr>
                <w:sz w:val="19"/>
                <w:szCs w:val="19"/>
              </w:rPr>
            </w:pPr>
          </w:p>
          <w:p w14:paraId="00000099" w14:textId="77777777" w:rsidR="00AF321E" w:rsidRDefault="00AE2FE4">
            <w:pPr>
              <w:spacing w:line="259" w:lineRule="auto"/>
              <w:ind w:left="2" w:right="234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Mary Romain</w:t>
            </w:r>
          </w:p>
          <w:p w14:paraId="0000009A" w14:textId="77777777" w:rsidR="00AF321E" w:rsidRDefault="00AF321E">
            <w:pPr>
              <w:spacing w:line="259" w:lineRule="auto"/>
              <w:ind w:left="2" w:right="234"/>
              <w:rPr>
                <w:sz w:val="19"/>
                <w:szCs w:val="19"/>
              </w:rPr>
            </w:pPr>
          </w:p>
          <w:p w14:paraId="0000009B" w14:textId="77777777" w:rsidR="00AF321E" w:rsidRDefault="00AF321E">
            <w:pPr>
              <w:spacing w:line="259" w:lineRule="auto"/>
              <w:ind w:left="2" w:right="234"/>
              <w:rPr>
                <w:sz w:val="19"/>
                <w:szCs w:val="19"/>
              </w:rPr>
            </w:pPr>
          </w:p>
          <w:p w14:paraId="0000009C" w14:textId="77777777" w:rsidR="00AF321E" w:rsidRDefault="00AF321E">
            <w:pPr>
              <w:spacing w:line="259" w:lineRule="auto"/>
              <w:ind w:left="2" w:right="234"/>
              <w:rPr>
                <w:sz w:val="19"/>
                <w:szCs w:val="19"/>
              </w:rPr>
            </w:pPr>
          </w:p>
          <w:p w14:paraId="0000009D" w14:textId="5C066848" w:rsidR="00AF321E" w:rsidRDefault="00206540">
            <w:pPr>
              <w:spacing w:line="259" w:lineRule="auto"/>
              <w:ind w:left="2" w:right="234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Lizy Kannarkat</w:t>
            </w:r>
            <w:r w:rsidR="00AE2FE4">
              <w:rPr>
                <w:sz w:val="19"/>
                <w:szCs w:val="19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9E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9F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A0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x6414 </w:t>
            </w:r>
          </w:p>
          <w:p w14:paraId="000000A1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A2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A3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A4" w14:textId="0F63AFC1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  <w:r w:rsidR="001E1C73">
              <w:rPr>
                <w:sz w:val="19"/>
                <w:szCs w:val="19"/>
              </w:rPr>
              <w:t>5</w:t>
            </w:r>
            <w:r w:rsidR="008F277B">
              <w:rPr>
                <w:sz w:val="19"/>
                <w:szCs w:val="19"/>
              </w:rPr>
              <w:t>013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5" w14:textId="77777777" w:rsidR="00AF321E" w:rsidRDefault="00AF321E">
            <w:pPr>
              <w:spacing w:after="12" w:line="224" w:lineRule="auto"/>
              <w:ind w:left="2"/>
              <w:rPr>
                <w:color w:val="0000FF"/>
                <w:sz w:val="19"/>
                <w:szCs w:val="19"/>
                <w:u w:val="single"/>
              </w:rPr>
            </w:pPr>
          </w:p>
          <w:p w14:paraId="000000A6" w14:textId="77777777" w:rsidR="00AF321E" w:rsidRDefault="00AF321E">
            <w:pPr>
              <w:spacing w:after="12" w:line="224" w:lineRule="auto"/>
              <w:ind w:left="2"/>
              <w:rPr>
                <w:color w:val="0000FF"/>
                <w:sz w:val="19"/>
                <w:szCs w:val="19"/>
                <w:u w:val="single"/>
              </w:rPr>
            </w:pPr>
          </w:p>
          <w:p w14:paraId="000000A7" w14:textId="77777777" w:rsidR="00AF321E" w:rsidRDefault="00A33BAB">
            <w:pPr>
              <w:spacing w:after="12" w:line="224" w:lineRule="auto"/>
              <w:ind w:left="2"/>
              <w:rPr>
                <w:sz w:val="19"/>
                <w:szCs w:val="19"/>
              </w:rPr>
            </w:pPr>
            <w:hyperlink r:id="rId10">
              <w:r w:rsidR="00AE2FE4">
                <w:rPr>
                  <w:color w:val="0563C1"/>
                  <w:sz w:val="19"/>
                  <w:szCs w:val="19"/>
                  <w:u w:val="single"/>
                </w:rPr>
                <w:t>romain@cua.edu</w:t>
              </w:r>
            </w:hyperlink>
            <w:r w:rsidR="00AE2FE4">
              <w:rPr>
                <w:sz w:val="19"/>
                <w:szCs w:val="19"/>
              </w:rPr>
              <w:t xml:space="preserve"> </w:t>
            </w:r>
          </w:p>
          <w:p w14:paraId="000000A8" w14:textId="77777777" w:rsidR="00AF321E" w:rsidRDefault="00AF321E">
            <w:pPr>
              <w:spacing w:after="12" w:line="224" w:lineRule="auto"/>
              <w:ind w:left="2"/>
              <w:rPr>
                <w:sz w:val="19"/>
                <w:szCs w:val="19"/>
                <w:u w:val="single"/>
              </w:rPr>
            </w:pPr>
          </w:p>
          <w:p w14:paraId="000000A9" w14:textId="77777777" w:rsidR="00AF321E" w:rsidRDefault="00AF321E">
            <w:pPr>
              <w:spacing w:after="12" w:line="224" w:lineRule="auto"/>
              <w:ind w:left="2"/>
              <w:rPr>
                <w:sz w:val="19"/>
                <w:szCs w:val="19"/>
                <w:u w:val="single"/>
              </w:rPr>
            </w:pPr>
          </w:p>
          <w:p w14:paraId="000000AA" w14:textId="77777777" w:rsidR="00AF321E" w:rsidRDefault="00AF321E">
            <w:pPr>
              <w:spacing w:after="12" w:line="224" w:lineRule="auto"/>
              <w:ind w:left="2"/>
              <w:rPr>
                <w:sz w:val="32"/>
                <w:szCs w:val="32"/>
                <w:u w:val="single"/>
              </w:rPr>
            </w:pPr>
          </w:p>
          <w:p w14:paraId="000000AB" w14:textId="7C0CBF6D" w:rsidR="00AF321E" w:rsidRDefault="00206540">
            <w:pPr>
              <w:spacing w:after="12" w:line="224" w:lineRule="auto"/>
              <w:ind w:left="2"/>
              <w:rPr>
                <w:sz w:val="19"/>
                <w:szCs w:val="19"/>
              </w:rPr>
            </w:pPr>
            <w:bookmarkStart w:id="3" w:name="_heading=h.30j0zll" w:colFirst="0" w:colLast="0"/>
            <w:bookmarkEnd w:id="3"/>
            <w:r>
              <w:rPr>
                <w:color w:val="0000FF"/>
                <w:sz w:val="19"/>
                <w:szCs w:val="19"/>
                <w:u w:val="single"/>
              </w:rPr>
              <w:t>kannarkat</w:t>
            </w:r>
            <w:r w:rsidR="00AE2FE4">
              <w:rPr>
                <w:color w:val="0000FF"/>
                <w:sz w:val="19"/>
                <w:szCs w:val="19"/>
                <w:u w:val="single"/>
              </w:rPr>
              <w:t>@cua.edu</w:t>
            </w:r>
            <w:r w:rsidR="00AE2FE4">
              <w:rPr>
                <w:sz w:val="19"/>
                <w:szCs w:val="19"/>
              </w:rPr>
              <w:t xml:space="preserve"> </w:t>
            </w:r>
          </w:p>
          <w:p w14:paraId="000000AC" w14:textId="77777777" w:rsidR="00AF321E" w:rsidRDefault="00AE2FE4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AF321E" w14:paraId="5D9040EF" w14:textId="77777777">
        <w:trPr>
          <w:trHeight w:val="36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D" w14:textId="77777777" w:rsidR="00AF321E" w:rsidRDefault="00AE2FE4">
            <w:pPr>
              <w:spacing w:after="27"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Payroll Office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E" w14:textId="08B20742" w:rsidR="00AF321E" w:rsidRDefault="00317F72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Sharon Williams Jackson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AF" w14:textId="391EB12A" w:rsidR="00AF321E" w:rsidRDefault="00317F72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X4571</w:t>
            </w:r>
            <w:r w:rsidR="00AE2FE4">
              <w:rPr>
                <w:sz w:val="19"/>
                <w:szCs w:val="19"/>
              </w:rPr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0" w14:textId="2F01557B" w:rsidR="00AF321E" w:rsidRDefault="00317F72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cua</w:t>
            </w:r>
            <w:r w:rsidR="00AE2FE4">
              <w:rPr>
                <w:color w:val="0000FF"/>
                <w:sz w:val="19"/>
                <w:szCs w:val="19"/>
                <w:u w:val="single"/>
              </w:rPr>
              <w:t>-payroll@cua.edu</w:t>
            </w:r>
          </w:p>
        </w:tc>
      </w:tr>
      <w:tr w:rsidR="00AF321E" w14:paraId="0217FD53" w14:textId="77777777">
        <w:trPr>
          <w:trHeight w:val="53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1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Procurement and Payment Services:</w:t>
            </w:r>
          </w:p>
          <w:p w14:paraId="000000B2" w14:textId="77777777" w:rsidR="00AF321E" w:rsidRDefault="00AE2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Accounts Payable</w:t>
            </w:r>
          </w:p>
          <w:p w14:paraId="000000B3" w14:textId="77777777" w:rsidR="00AF321E" w:rsidRDefault="00AF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left"/>
              <w:rPr>
                <w:color w:val="000000"/>
                <w:sz w:val="19"/>
                <w:szCs w:val="19"/>
              </w:rPr>
            </w:pPr>
          </w:p>
          <w:p w14:paraId="000000B4" w14:textId="77777777" w:rsidR="00AF321E" w:rsidRDefault="00AE2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Procurement</w:t>
            </w:r>
          </w:p>
          <w:p w14:paraId="000000B5" w14:textId="77777777" w:rsidR="00AF321E" w:rsidRDefault="00AF32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left"/>
              <w:rPr>
                <w:color w:val="000000"/>
                <w:sz w:val="19"/>
                <w:szCs w:val="19"/>
              </w:rPr>
            </w:pPr>
          </w:p>
          <w:p w14:paraId="000000B6" w14:textId="77777777" w:rsidR="00AF321E" w:rsidRDefault="00AE2FE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left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Card Programs (Corporate/ Procurement) and Training</w:t>
            </w:r>
          </w:p>
          <w:p w14:paraId="000000B7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8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B9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Lisa David </w:t>
            </w:r>
          </w:p>
          <w:p w14:paraId="000000BA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BB" w14:textId="696C8822" w:rsidR="00AF321E" w:rsidRDefault="00125D21">
            <w:pPr>
              <w:spacing w:line="259" w:lineRule="auto"/>
              <w:ind w:left="1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Chulsey</w:t>
            </w:r>
            <w:proofErr w:type="spellEnd"/>
            <w:r>
              <w:rPr>
                <w:sz w:val="19"/>
                <w:szCs w:val="19"/>
              </w:rPr>
              <w:t xml:space="preserve"> Hill</w:t>
            </w:r>
          </w:p>
          <w:p w14:paraId="000000BC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BD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Sandra </w:t>
            </w:r>
            <w:proofErr w:type="spellStart"/>
            <w:r>
              <w:rPr>
                <w:sz w:val="19"/>
                <w:szCs w:val="19"/>
              </w:rPr>
              <w:t>Alergria</w:t>
            </w:r>
            <w:proofErr w:type="spellEnd"/>
          </w:p>
          <w:p w14:paraId="000000BE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Bob McHale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F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C0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x5854 </w:t>
            </w:r>
          </w:p>
          <w:p w14:paraId="000000C1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C2" w14:textId="76FC0BB1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  <w:r w:rsidR="00125D21">
              <w:rPr>
                <w:sz w:val="19"/>
                <w:szCs w:val="19"/>
              </w:rPr>
              <w:t>5546</w:t>
            </w:r>
          </w:p>
          <w:p w14:paraId="000000C3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  <w:p w14:paraId="000000C4" w14:textId="05A6D7BF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  <w:r w:rsidR="00127DF3">
              <w:rPr>
                <w:sz w:val="19"/>
                <w:szCs w:val="19"/>
              </w:rPr>
              <w:t>6098</w:t>
            </w:r>
          </w:p>
          <w:p w14:paraId="000000C5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x5354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6" w14:textId="77777777" w:rsidR="00AF321E" w:rsidRDefault="00AF321E">
            <w:pPr>
              <w:spacing w:line="259" w:lineRule="auto"/>
              <w:ind w:left="1"/>
              <w:rPr>
                <w:color w:val="0000FF"/>
                <w:sz w:val="19"/>
                <w:szCs w:val="19"/>
                <w:u w:val="single"/>
              </w:rPr>
            </w:pPr>
          </w:p>
          <w:p w14:paraId="000000C7" w14:textId="77777777" w:rsidR="00AF321E" w:rsidRDefault="00A33BAB">
            <w:pPr>
              <w:spacing w:line="259" w:lineRule="auto"/>
              <w:ind w:left="1"/>
              <w:rPr>
                <w:color w:val="0000FF"/>
                <w:sz w:val="19"/>
                <w:szCs w:val="19"/>
                <w:u w:val="single"/>
              </w:rPr>
            </w:pPr>
            <w:hyperlink r:id="rId11">
              <w:r w:rsidR="00AE2FE4">
                <w:rPr>
                  <w:color w:val="0563C1"/>
                  <w:sz w:val="19"/>
                  <w:szCs w:val="19"/>
                </w:rPr>
                <w:t>cua-accountspayable@cua.edu</w:t>
              </w:r>
            </w:hyperlink>
          </w:p>
          <w:p w14:paraId="000000C8" w14:textId="77777777" w:rsidR="00AF321E" w:rsidRDefault="00AF321E">
            <w:pPr>
              <w:spacing w:line="259" w:lineRule="auto"/>
              <w:ind w:left="1"/>
              <w:rPr>
                <w:color w:val="0000FF"/>
                <w:sz w:val="19"/>
                <w:szCs w:val="19"/>
                <w:u w:val="single"/>
              </w:rPr>
            </w:pPr>
          </w:p>
          <w:p w14:paraId="000000C9" w14:textId="77777777" w:rsidR="00AF321E" w:rsidRDefault="00A33BAB">
            <w:pPr>
              <w:spacing w:line="259" w:lineRule="auto"/>
              <w:ind w:left="1"/>
              <w:rPr>
                <w:sz w:val="19"/>
                <w:szCs w:val="19"/>
              </w:rPr>
            </w:pPr>
            <w:hyperlink r:id="rId12">
              <w:r w:rsidR="00AE2FE4">
                <w:rPr>
                  <w:color w:val="0563C1"/>
                  <w:sz w:val="19"/>
                  <w:szCs w:val="19"/>
                </w:rPr>
                <w:t>askprocurement@cua.edu</w:t>
              </w:r>
            </w:hyperlink>
            <w:r w:rsidR="00AE2FE4">
              <w:rPr>
                <w:sz w:val="19"/>
                <w:szCs w:val="19"/>
              </w:rPr>
              <w:t xml:space="preserve"> </w:t>
            </w:r>
          </w:p>
          <w:p w14:paraId="000000CA" w14:textId="77777777" w:rsidR="00AF321E" w:rsidRDefault="00AF321E">
            <w:pPr>
              <w:spacing w:line="259" w:lineRule="auto"/>
              <w:ind w:left="1"/>
              <w:rPr>
                <w:sz w:val="19"/>
                <w:szCs w:val="19"/>
              </w:rPr>
            </w:pPr>
          </w:p>
          <w:p w14:paraId="000000CB" w14:textId="77777777" w:rsidR="00AF321E" w:rsidRDefault="00A33BAB">
            <w:pPr>
              <w:spacing w:line="259" w:lineRule="auto"/>
              <w:ind w:left="1"/>
              <w:rPr>
                <w:sz w:val="19"/>
                <w:szCs w:val="19"/>
              </w:rPr>
            </w:pPr>
            <w:hyperlink r:id="rId13">
              <w:r w:rsidR="00AE2FE4">
                <w:rPr>
                  <w:color w:val="0563C1"/>
                  <w:sz w:val="19"/>
                  <w:szCs w:val="19"/>
                </w:rPr>
                <w:t>askprocurement@cua.edu</w:t>
              </w:r>
            </w:hyperlink>
            <w:r w:rsidR="00AE2FE4">
              <w:rPr>
                <w:sz w:val="19"/>
                <w:szCs w:val="19"/>
              </w:rPr>
              <w:t xml:space="preserve"> </w:t>
            </w:r>
          </w:p>
          <w:p w14:paraId="000000CC" w14:textId="77777777" w:rsidR="00AF321E" w:rsidRDefault="00AF321E">
            <w:pPr>
              <w:spacing w:line="259" w:lineRule="auto"/>
              <w:ind w:left="0"/>
              <w:rPr>
                <w:sz w:val="19"/>
                <w:szCs w:val="19"/>
              </w:rPr>
            </w:pPr>
          </w:p>
        </w:tc>
      </w:tr>
      <w:tr w:rsidR="00AF321E" w14:paraId="6D5E0D3A" w14:textId="77777777">
        <w:trPr>
          <w:trHeight w:val="36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Sponsored Accounting (Grants)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E" w14:textId="77777777" w:rsidR="00AF321E" w:rsidRDefault="00AE2FE4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Paul Harrison 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F" w14:textId="77777777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x6402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0" w14:textId="77777777" w:rsidR="00AF321E" w:rsidRDefault="00AE2FE4">
            <w:pPr>
              <w:spacing w:line="259" w:lineRule="auto"/>
              <w:ind w:left="2"/>
              <w:jc w:val="left"/>
              <w:rPr>
                <w:sz w:val="19"/>
                <w:szCs w:val="19"/>
              </w:rPr>
            </w:pPr>
            <w:r>
              <w:rPr>
                <w:color w:val="0000FF"/>
                <w:sz w:val="19"/>
                <w:szCs w:val="19"/>
                <w:u w:val="single"/>
              </w:rPr>
              <w:t>harrisop@cua.edu</w:t>
            </w:r>
            <w:r>
              <w:rPr>
                <w:sz w:val="19"/>
                <w:szCs w:val="19"/>
              </w:rPr>
              <w:t xml:space="preserve"> </w:t>
            </w:r>
          </w:p>
        </w:tc>
      </w:tr>
      <w:tr w:rsidR="00AF321E" w14:paraId="4C2E4D21" w14:textId="77777777">
        <w:trPr>
          <w:trHeight w:val="35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1" w14:textId="77777777" w:rsidR="00AF321E" w:rsidRDefault="00AE2FE4">
            <w:pPr>
              <w:spacing w:line="259" w:lineRule="auto"/>
              <w:ind w:left="1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Student Financial Assistance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2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Mindy Schaffer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AF321E" w:rsidRDefault="00AE2FE4">
            <w:pPr>
              <w:spacing w:line="259" w:lineRule="auto"/>
              <w:ind w:left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x6369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4" w14:textId="77777777" w:rsidR="00AF321E" w:rsidRDefault="00AE2FE4">
            <w:pPr>
              <w:spacing w:line="259" w:lineRule="auto"/>
              <w:ind w:left="1"/>
              <w:rPr>
                <w:sz w:val="19"/>
                <w:szCs w:val="19"/>
              </w:rPr>
            </w:pPr>
            <w:r>
              <w:rPr>
                <w:color w:val="0563C1"/>
                <w:sz w:val="19"/>
                <w:szCs w:val="19"/>
                <w:u w:val="single"/>
              </w:rPr>
              <w:t>schafferm@cua.edu</w:t>
            </w:r>
          </w:p>
        </w:tc>
      </w:tr>
    </w:tbl>
    <w:p w14:paraId="000000D5" w14:textId="77777777" w:rsidR="00AF321E" w:rsidRDefault="00AF321E">
      <w:pPr>
        <w:spacing w:after="0" w:line="259" w:lineRule="auto"/>
        <w:ind w:left="0"/>
        <w:jc w:val="left"/>
      </w:pPr>
    </w:p>
    <w:sectPr w:rsidR="00AF321E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706D0" w14:textId="77777777" w:rsidR="00A33BAB" w:rsidRDefault="00A33BAB">
      <w:pPr>
        <w:spacing w:after="0" w:line="240" w:lineRule="auto"/>
      </w:pPr>
      <w:r>
        <w:separator/>
      </w:r>
    </w:p>
  </w:endnote>
  <w:endnote w:type="continuationSeparator" w:id="0">
    <w:p w14:paraId="19DC0013" w14:textId="77777777" w:rsidR="00A33BAB" w:rsidRDefault="00A3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D6" w14:textId="7155B7B2" w:rsidR="00AF321E" w:rsidRDefault="00AE2F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D1B7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NUMPAGES</w:instrText>
    </w:r>
    <w:r>
      <w:rPr>
        <w:color w:val="000000"/>
        <w:sz w:val="24"/>
        <w:szCs w:val="24"/>
      </w:rPr>
      <w:fldChar w:fldCharType="separate"/>
    </w:r>
    <w:r w:rsidR="00CD1B7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D7" w14:textId="77777777" w:rsidR="00AF321E" w:rsidRDefault="00AF32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1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F0709" w14:textId="77777777" w:rsidR="00A33BAB" w:rsidRDefault="00A33BAB">
      <w:pPr>
        <w:spacing w:after="0" w:line="240" w:lineRule="auto"/>
      </w:pPr>
      <w:r>
        <w:separator/>
      </w:r>
    </w:p>
  </w:footnote>
  <w:footnote w:type="continuationSeparator" w:id="0">
    <w:p w14:paraId="030526E0" w14:textId="77777777" w:rsidR="00A33BAB" w:rsidRDefault="00A33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4BFE"/>
    <w:multiLevelType w:val="multilevel"/>
    <w:tmpl w:val="0922D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1E07EB"/>
    <w:multiLevelType w:val="multilevel"/>
    <w:tmpl w:val="00A049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1E"/>
    <w:rsid w:val="0002467D"/>
    <w:rsid w:val="000308F0"/>
    <w:rsid w:val="00081571"/>
    <w:rsid w:val="00113E5C"/>
    <w:rsid w:val="00125D21"/>
    <w:rsid w:val="00127DF3"/>
    <w:rsid w:val="001419A1"/>
    <w:rsid w:val="00172A88"/>
    <w:rsid w:val="001829CA"/>
    <w:rsid w:val="001E1C73"/>
    <w:rsid w:val="001E3510"/>
    <w:rsid w:val="00206540"/>
    <w:rsid w:val="00210E9A"/>
    <w:rsid w:val="0023738F"/>
    <w:rsid w:val="002761A6"/>
    <w:rsid w:val="00297598"/>
    <w:rsid w:val="00297950"/>
    <w:rsid w:val="002A0EE4"/>
    <w:rsid w:val="002E0D88"/>
    <w:rsid w:val="002F5E7B"/>
    <w:rsid w:val="00317F72"/>
    <w:rsid w:val="00341640"/>
    <w:rsid w:val="00376E8A"/>
    <w:rsid w:val="004518CB"/>
    <w:rsid w:val="0046210F"/>
    <w:rsid w:val="0058298F"/>
    <w:rsid w:val="00662251"/>
    <w:rsid w:val="00761C35"/>
    <w:rsid w:val="007D7BA8"/>
    <w:rsid w:val="00805E71"/>
    <w:rsid w:val="00837A58"/>
    <w:rsid w:val="008C5E35"/>
    <w:rsid w:val="008F277B"/>
    <w:rsid w:val="00971203"/>
    <w:rsid w:val="009D5878"/>
    <w:rsid w:val="00A01627"/>
    <w:rsid w:val="00A33BAB"/>
    <w:rsid w:val="00A710B8"/>
    <w:rsid w:val="00A87DA4"/>
    <w:rsid w:val="00AC3DFE"/>
    <w:rsid w:val="00AE2FE4"/>
    <w:rsid w:val="00AF321E"/>
    <w:rsid w:val="00B0678C"/>
    <w:rsid w:val="00B2077E"/>
    <w:rsid w:val="00BD10F7"/>
    <w:rsid w:val="00BE5C58"/>
    <w:rsid w:val="00BF69DB"/>
    <w:rsid w:val="00C036FB"/>
    <w:rsid w:val="00C13C43"/>
    <w:rsid w:val="00C524E3"/>
    <w:rsid w:val="00C63E0B"/>
    <w:rsid w:val="00CD1B72"/>
    <w:rsid w:val="00D44382"/>
    <w:rsid w:val="00D6662D"/>
    <w:rsid w:val="00DB566D"/>
    <w:rsid w:val="00DD3636"/>
    <w:rsid w:val="00DE042D"/>
    <w:rsid w:val="00DE2C3A"/>
    <w:rsid w:val="00EB0339"/>
    <w:rsid w:val="00EB2ED4"/>
    <w:rsid w:val="00EB4AD3"/>
    <w:rsid w:val="00EB6FF0"/>
    <w:rsid w:val="00EE658B"/>
    <w:rsid w:val="00EF3CFF"/>
    <w:rsid w:val="00F2178F"/>
    <w:rsid w:val="00F27C47"/>
    <w:rsid w:val="00F52227"/>
    <w:rsid w:val="00FB1129"/>
    <w:rsid w:val="00FD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D791C"/>
  <w15:docId w15:val="{B67A60CA-07CB-432E-802F-F01F4321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5" w:line="238" w:lineRule="auto"/>
        <w:ind w:left="1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4" w:type="dxa"/>
        <w:right w:w="5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3" w:type="dxa"/>
        <w:bottom w:w="5" w:type="dxa"/>
        <w:right w:w="92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3" w:type="dxa"/>
        <w:bottom w:w="5" w:type="dxa"/>
        <w:right w:w="92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3" w:type="dxa"/>
        <w:bottom w:w="5" w:type="dxa"/>
        <w:right w:w="92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3" w:type="dxa"/>
        <w:bottom w:w="5" w:type="dxa"/>
        <w:right w:w="92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7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19A"/>
    <w:rPr>
      <w:rFonts w:ascii="Segoe UI" w:hAnsi="Segoe UI" w:cs="Segoe UI"/>
      <w:sz w:val="18"/>
      <w:szCs w:val="1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3" w:type="dxa"/>
        <w:bottom w:w="5" w:type="dxa"/>
        <w:right w:w="92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3" w:type="dxa"/>
        <w:bottom w:w="5" w:type="dxa"/>
        <w:right w:w="92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42" w:type="dxa"/>
        <w:left w:w="113" w:type="dxa"/>
        <w:bottom w:w="5" w:type="dxa"/>
        <w:right w:w="92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skprocurement@cu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kprocurement@cu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a-accountspayable@cua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main@cu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anda@cua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774HalBlLA2NOiBVzXssAgDRCw==">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Rosie</dc:creator>
  <cp:lastModifiedBy>Henderson, Rosie</cp:lastModifiedBy>
  <cp:revision>6</cp:revision>
  <dcterms:created xsi:type="dcterms:W3CDTF">2024-03-07T19:34:00Z</dcterms:created>
  <dcterms:modified xsi:type="dcterms:W3CDTF">2024-03-13T20:21:00Z</dcterms:modified>
</cp:coreProperties>
</file>